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4C" w:rsidRDefault="00B33546">
      <w:pPr>
        <w:pStyle w:val="Standard"/>
        <w:rPr>
          <w:rFonts w:ascii="標楷體" w:eastAsia="標楷體" w:hAnsi="標楷體"/>
          <w:color w:val="000000"/>
          <w:sz w:val="36"/>
          <w:szCs w:val="24"/>
        </w:rPr>
      </w:pPr>
      <w:bookmarkStart w:id="0" w:name="_GoBack"/>
      <w:bookmarkEnd w:id="0"/>
      <w:r>
        <w:rPr>
          <w:rFonts w:ascii="標楷體" w:eastAsia="標楷體" w:hAnsi="標楷體"/>
          <w:color w:val="000000"/>
          <w:sz w:val="36"/>
          <w:szCs w:val="24"/>
        </w:rPr>
        <w:t>教育部鼓勵學生參加藝術與設計類國際競賽獎勵要點第五點修正規定</w:t>
      </w:r>
    </w:p>
    <w:p w:rsidR="004B2D4C" w:rsidRDefault="00B33546">
      <w:pPr>
        <w:pStyle w:val="a7"/>
        <w:numPr>
          <w:ilvl w:val="0"/>
          <w:numId w:val="4"/>
        </w:numPr>
        <w:ind w:right="-197"/>
        <w:rPr>
          <w:rFonts w:ascii="標楷體" w:eastAsia="標楷體" w:hAnsi="標楷體"/>
          <w:color w:val="000000"/>
          <w:szCs w:val="24"/>
        </w:rPr>
      </w:pPr>
      <w:r>
        <w:rPr>
          <w:rFonts w:ascii="標楷體" w:eastAsia="標楷體" w:hAnsi="標楷體"/>
          <w:color w:val="000000"/>
          <w:szCs w:val="24"/>
        </w:rPr>
        <w:t>申請及審查作業：</w:t>
      </w:r>
    </w:p>
    <w:p w:rsidR="004B2D4C" w:rsidRDefault="00B33546">
      <w:pPr>
        <w:pStyle w:val="a7"/>
        <w:numPr>
          <w:ilvl w:val="0"/>
          <w:numId w:val="5"/>
        </w:numPr>
        <w:ind w:left="1134" w:right="-197" w:hanging="763"/>
        <w:rPr>
          <w:rFonts w:ascii="標楷體" w:eastAsia="標楷體" w:hAnsi="標楷體"/>
          <w:color w:val="000000"/>
          <w:szCs w:val="24"/>
        </w:rPr>
      </w:pPr>
      <w:r>
        <w:rPr>
          <w:rFonts w:ascii="標楷體" w:eastAsia="標楷體" w:hAnsi="標楷體"/>
          <w:color w:val="000000"/>
          <w:szCs w:val="24"/>
        </w:rPr>
        <w:t>各校於本部規定期程內，有學生參加本部公告之國際競賽且成績優異者，得於每年七月三十一日前，檢附獲獎證明向本部提出申請；本部於當年度受理前一年度八月一日至當年度七月三十一日期間，參加附表所列國際設計競賽獲獎者之申請。</w:t>
      </w:r>
    </w:p>
    <w:p w:rsidR="004B2D4C" w:rsidRDefault="00B33546">
      <w:pPr>
        <w:pStyle w:val="a7"/>
        <w:numPr>
          <w:ilvl w:val="0"/>
          <w:numId w:val="3"/>
        </w:numPr>
        <w:ind w:left="1134" w:right="-197" w:hanging="763"/>
        <w:rPr>
          <w:rFonts w:ascii="標楷體" w:eastAsia="標楷體" w:hAnsi="標楷體"/>
          <w:color w:val="000000"/>
          <w:szCs w:val="24"/>
        </w:rPr>
      </w:pPr>
      <w:r>
        <w:rPr>
          <w:rFonts w:ascii="標楷體" w:eastAsia="標楷體" w:hAnsi="標楷體"/>
          <w:color w:val="000000"/>
          <w:szCs w:val="24"/>
        </w:rPr>
        <w:t>申請者如同一作品獲得多項競賽之獎項，僅擇最優獎項，核予獎勵金。</w:t>
      </w:r>
    </w:p>
    <w:p w:rsidR="004B2D4C" w:rsidRDefault="00B33546">
      <w:pPr>
        <w:pStyle w:val="a7"/>
        <w:numPr>
          <w:ilvl w:val="0"/>
          <w:numId w:val="3"/>
        </w:numPr>
        <w:ind w:left="1134" w:right="-197" w:hanging="763"/>
        <w:rPr>
          <w:rFonts w:ascii="標楷體" w:eastAsia="標楷體" w:hAnsi="標楷體"/>
          <w:color w:val="000000"/>
          <w:szCs w:val="24"/>
        </w:rPr>
      </w:pPr>
      <w:r>
        <w:rPr>
          <w:rFonts w:ascii="標楷體" w:eastAsia="標楷體" w:hAnsi="標楷體"/>
          <w:color w:val="000000"/>
          <w:szCs w:val="24"/>
        </w:rPr>
        <w:t>為多人共同參賽，共同創作者非國內公私立高級中等以上學校在學學生，一律不予受理。</w:t>
      </w:r>
    </w:p>
    <w:p w:rsidR="004B2D4C" w:rsidRDefault="00B33546">
      <w:pPr>
        <w:pStyle w:val="a7"/>
        <w:numPr>
          <w:ilvl w:val="0"/>
          <w:numId w:val="3"/>
        </w:numPr>
        <w:ind w:left="1134" w:right="-197" w:hanging="763"/>
        <w:rPr>
          <w:rFonts w:ascii="標楷體" w:eastAsia="標楷體" w:hAnsi="標楷體"/>
          <w:color w:val="000000"/>
          <w:szCs w:val="24"/>
        </w:rPr>
      </w:pPr>
      <w:r>
        <w:rPr>
          <w:rFonts w:ascii="標楷體" w:eastAsia="標楷體" w:hAnsi="標楷體"/>
          <w:color w:val="000000"/>
          <w:szCs w:val="24"/>
        </w:rPr>
        <w:t>申請者須備妥二種以上咸具獲獎者姓名及作品名稱之獲獎相關證明文件。</w:t>
      </w:r>
    </w:p>
    <w:p w:rsidR="004B2D4C" w:rsidRDefault="00B33546">
      <w:pPr>
        <w:pStyle w:val="a7"/>
        <w:numPr>
          <w:ilvl w:val="0"/>
          <w:numId w:val="3"/>
        </w:numPr>
        <w:ind w:left="1134" w:right="-197" w:hanging="763"/>
        <w:rPr>
          <w:rFonts w:ascii="標楷體" w:eastAsia="標楷體" w:hAnsi="標楷體"/>
          <w:color w:val="000000"/>
          <w:szCs w:val="24"/>
        </w:rPr>
      </w:pPr>
      <w:r>
        <w:rPr>
          <w:rFonts w:ascii="標楷體" w:eastAsia="標楷體" w:hAnsi="標楷體"/>
          <w:color w:val="000000"/>
          <w:szCs w:val="24"/>
        </w:rPr>
        <w:t>同一作品當年度及前一年度曾於本部「臺灣國際學生創意設計大賽」中獲獎者，由審查會擇優核定獎勵金額，不受前點第一款獎勵金額度限制。</w:t>
      </w:r>
    </w:p>
    <w:p w:rsidR="004B2D4C" w:rsidRDefault="00B33546">
      <w:pPr>
        <w:pStyle w:val="a7"/>
        <w:numPr>
          <w:ilvl w:val="0"/>
          <w:numId w:val="3"/>
        </w:numPr>
        <w:ind w:left="1134" w:right="-197" w:hanging="763"/>
        <w:rPr>
          <w:rFonts w:ascii="標楷體" w:eastAsia="標楷體" w:hAnsi="標楷體"/>
          <w:color w:val="000000"/>
          <w:szCs w:val="24"/>
        </w:rPr>
      </w:pPr>
      <w:r>
        <w:rPr>
          <w:rFonts w:ascii="標楷體" w:eastAsia="標楷體" w:hAnsi="標楷體"/>
          <w:color w:val="000000"/>
          <w:szCs w:val="24"/>
        </w:rPr>
        <w:t>本部原則於每年十月十五日前召開審查會議，核定獲獎勵學生名單及獎勵額度，並得依實際需要，彈性調整作業時。</w:t>
      </w:r>
    </w:p>
    <w:sectPr w:rsidR="004B2D4C">
      <w:footerReference w:type="default" r:id="rId7"/>
      <w:pgSz w:w="11906" w:h="16838"/>
      <w:pgMar w:top="1440" w:right="1800" w:bottom="1440" w:left="1800" w:header="720"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46" w:rsidRDefault="00B33546">
      <w:r>
        <w:separator/>
      </w:r>
    </w:p>
  </w:endnote>
  <w:endnote w:type="continuationSeparator" w:id="0">
    <w:p w:rsidR="00B33546" w:rsidRDefault="00B3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E03" w:rsidRDefault="00B33546">
    <w:pPr>
      <w:pStyle w:val="a6"/>
      <w:jc w:val="center"/>
      <w:rPr>
        <w:lang w:val="zh-TW"/>
      </w:rPr>
    </w:pPr>
    <w:r>
      <w:rPr>
        <w:lang w:val="zh-TW"/>
      </w:rPr>
      <w:fldChar w:fldCharType="begin"/>
    </w:r>
    <w:r>
      <w:rPr>
        <w:lang w:val="zh-TW"/>
      </w:rPr>
      <w:instrText xml:space="preserve"> PAGE </w:instrText>
    </w:r>
    <w:r>
      <w:rPr>
        <w:lang w:val="zh-TW"/>
      </w:rPr>
      <w:fldChar w:fldCharType="separate"/>
    </w:r>
    <w:r w:rsidR="001C46E0">
      <w:rPr>
        <w:noProof/>
        <w:lang w:val="zh-TW"/>
      </w:rPr>
      <w:t>1</w:t>
    </w:r>
    <w:r>
      <w:rPr>
        <w:lang w:val="zh-TW"/>
      </w:rPr>
      <w:fldChar w:fldCharType="end"/>
    </w:r>
  </w:p>
  <w:p w:rsidR="003C2E03" w:rsidRDefault="00B33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46" w:rsidRDefault="00B33546">
      <w:r>
        <w:rPr>
          <w:color w:val="000000"/>
        </w:rPr>
        <w:separator/>
      </w:r>
    </w:p>
  </w:footnote>
  <w:footnote w:type="continuationSeparator" w:id="0">
    <w:p w:rsidR="00B33546" w:rsidRDefault="00B3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784B"/>
    <w:multiLevelType w:val="multilevel"/>
    <w:tmpl w:val="5E1E0894"/>
    <w:styleLink w:val="WWNum1"/>
    <w:lvl w:ilvl="0">
      <w:start w:val="5"/>
      <w:numFmt w:val="japaneseCounting"/>
      <w:lvlText w:val="%1、"/>
      <w:lvlJc w:val="left"/>
      <w:pPr>
        <w:ind w:left="718" w:hanging="480"/>
      </w:pPr>
    </w:lvl>
    <w:lvl w:ilvl="1">
      <w:start w:val="1"/>
      <w:numFmt w:val="ideographTraditional"/>
      <w:lvlText w:val="%1.%2、"/>
      <w:lvlJc w:val="left"/>
      <w:pPr>
        <w:ind w:left="1198" w:hanging="480"/>
      </w:pPr>
    </w:lvl>
    <w:lvl w:ilvl="2">
      <w:start w:val="1"/>
      <w:numFmt w:val="lowerRoman"/>
      <w:lvlText w:val="%1.%2.%3."/>
      <w:lvlJc w:val="right"/>
      <w:pPr>
        <w:ind w:left="1678" w:hanging="480"/>
      </w:pPr>
    </w:lvl>
    <w:lvl w:ilvl="3">
      <w:start w:val="1"/>
      <w:numFmt w:val="decimal"/>
      <w:lvlText w:val="%1.%2.%3.%4."/>
      <w:lvlJc w:val="left"/>
      <w:pPr>
        <w:ind w:left="2158" w:hanging="480"/>
      </w:pPr>
    </w:lvl>
    <w:lvl w:ilvl="4">
      <w:start w:val="1"/>
      <w:numFmt w:val="ideographTraditional"/>
      <w:lvlText w:val="%1.%2.%3.%4.%5、"/>
      <w:lvlJc w:val="left"/>
      <w:pPr>
        <w:ind w:left="2638" w:hanging="480"/>
      </w:pPr>
    </w:lvl>
    <w:lvl w:ilvl="5">
      <w:start w:val="1"/>
      <w:numFmt w:val="lowerRoman"/>
      <w:lvlText w:val="%1.%2.%3.%4.%5.%6."/>
      <w:lvlJc w:val="right"/>
      <w:pPr>
        <w:ind w:left="3118" w:hanging="480"/>
      </w:pPr>
    </w:lvl>
    <w:lvl w:ilvl="6">
      <w:start w:val="1"/>
      <w:numFmt w:val="decimal"/>
      <w:lvlText w:val="%1.%2.%3.%4.%5.%6.%7."/>
      <w:lvlJc w:val="left"/>
      <w:pPr>
        <w:ind w:left="3598" w:hanging="480"/>
      </w:pPr>
    </w:lvl>
    <w:lvl w:ilvl="7">
      <w:start w:val="1"/>
      <w:numFmt w:val="ideographTraditional"/>
      <w:lvlText w:val="%1.%2.%3.%4.%5.%6.%7.%8、"/>
      <w:lvlJc w:val="left"/>
      <w:pPr>
        <w:ind w:left="4078" w:hanging="480"/>
      </w:pPr>
    </w:lvl>
    <w:lvl w:ilvl="8">
      <w:start w:val="1"/>
      <w:numFmt w:val="lowerRoman"/>
      <w:lvlText w:val="%1.%2.%3.%4.%5.%6.%7.%8.%9."/>
      <w:lvlJc w:val="right"/>
      <w:pPr>
        <w:ind w:left="4558" w:hanging="480"/>
      </w:pPr>
    </w:lvl>
  </w:abstractNum>
  <w:abstractNum w:abstractNumId="1" w15:restartNumberingAfterBreak="0">
    <w:nsid w:val="42AD2CBA"/>
    <w:multiLevelType w:val="multilevel"/>
    <w:tmpl w:val="0F56C86C"/>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2" w15:restartNumberingAfterBreak="0">
    <w:nsid w:val="484B17B5"/>
    <w:multiLevelType w:val="multilevel"/>
    <w:tmpl w:val="44E8F3B6"/>
    <w:styleLink w:val="WW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0"/>
  </w:num>
  <w:num w:numId="3">
    <w:abstractNumId w:val="2"/>
  </w:num>
  <w:num w:numId="4">
    <w:abstractNumId w:val="0"/>
    <w:lvlOverride w:ilvl="0">
      <w:startOverride w:val="5"/>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B2D4C"/>
    <w:rsid w:val="001C46E0"/>
    <w:rsid w:val="004B2D4C"/>
    <w:rsid w:val="00B3354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42E70-333D-4E85-8316-ED1329DA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libri Light" w:eastAsia="Calibri Light" w:hAnsi="Calibri Light" w:cs="Calibri Light"/>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imes New Roman"/>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蔡依玲</dc:creator>
  <cp:lastModifiedBy>User</cp:lastModifiedBy>
  <cp:revision>2</cp:revision>
  <cp:lastPrinted>2023-01-18T06:14:00Z</cp:lastPrinted>
  <dcterms:created xsi:type="dcterms:W3CDTF">2023-02-06T13:39:00Z</dcterms:created>
  <dcterms:modified xsi:type="dcterms:W3CDTF">2023-02-06T13:39:00Z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